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F83E6">
      <w:pPr>
        <w:pStyle w:val="2"/>
        <w:spacing w:before="72" w:line="223" w:lineRule="auto"/>
        <w:ind w:left="1131"/>
        <w:outlineLvl w:val="0"/>
        <w:rPr>
          <w:sz w:val="31"/>
          <w:szCs w:val="31"/>
        </w:rPr>
      </w:pPr>
      <w:r>
        <w:rPr>
          <w:b/>
          <w:bCs/>
          <w:spacing w:val="6"/>
          <w:sz w:val="31"/>
          <w:szCs w:val="31"/>
        </w:rPr>
        <w:t>南京邮电大学通达学院项目竞争性磋商公告</w:t>
      </w:r>
    </w:p>
    <w:p w14:paraId="26729F33">
      <w:pPr>
        <w:pStyle w:val="2"/>
        <w:spacing w:before="17" w:line="275" w:lineRule="auto"/>
        <w:ind w:left="24" w:right="54" w:firstLine="481"/>
      </w:pPr>
      <w:r>
        <w:rPr>
          <w:spacing w:val="4"/>
        </w:rPr>
        <w:t>南京邮电大学通达学院就</w:t>
      </w:r>
      <w:r>
        <w:rPr>
          <w:spacing w:val="-112"/>
        </w:rPr>
        <w:t xml:space="preserve"> </w:t>
      </w:r>
      <w:r>
        <w:rPr>
          <w:rFonts w:hint="eastAsia"/>
          <w:spacing w:val="5"/>
          <w:u w:val="single" w:color="auto"/>
          <w:lang w:eastAsia="zh-CN"/>
        </w:rPr>
        <w:t>《</w:t>
      </w:r>
      <w:r>
        <w:rPr>
          <w:rFonts w:hint="eastAsia"/>
          <w:spacing w:val="5"/>
          <w:u w:val="single" w:color="auto"/>
          <w:lang w:val="en-US" w:eastAsia="zh-CN"/>
        </w:rPr>
        <w:t>市场调查与研究》数智化在线课程建设</w:t>
      </w:r>
      <w:r>
        <w:rPr>
          <w:spacing w:val="4"/>
        </w:rPr>
        <w:t>项目组织竞争性磋商采购活</w:t>
      </w:r>
      <w:r>
        <w:t xml:space="preserve"> </w:t>
      </w:r>
      <w:r>
        <w:rPr>
          <w:spacing w:val="-3"/>
        </w:rPr>
        <w:t>动</w:t>
      </w:r>
      <w:r>
        <w:rPr>
          <w:spacing w:val="-40"/>
        </w:rPr>
        <w:t xml:space="preserve"> </w:t>
      </w:r>
      <w:r>
        <w:rPr>
          <w:spacing w:val="-3"/>
        </w:rPr>
        <w:t>，欢迎符合资质条件的供应商参与。</w:t>
      </w:r>
    </w:p>
    <w:p w14:paraId="3B6F692C">
      <w:pPr>
        <w:pStyle w:val="2"/>
        <w:spacing w:line="220" w:lineRule="auto"/>
        <w:ind w:left="27"/>
      </w:pPr>
      <w:r>
        <w:rPr>
          <w:spacing w:val="-2"/>
        </w:rPr>
        <w:t>一、项目名称：</w:t>
      </w:r>
      <w:r>
        <w:rPr>
          <w:rFonts w:hint="eastAsia"/>
          <w:spacing w:val="-2"/>
          <w:lang w:eastAsia="zh-CN"/>
        </w:rPr>
        <w:t>《</w:t>
      </w:r>
      <w:r>
        <w:rPr>
          <w:rFonts w:hint="eastAsia"/>
          <w:spacing w:val="-2"/>
          <w:lang w:val="en-US" w:eastAsia="zh-CN"/>
        </w:rPr>
        <w:t>市场调查与研究》数智化在线课程建设</w:t>
      </w:r>
    </w:p>
    <w:p w14:paraId="0BD2F2C5">
      <w:pPr>
        <w:pStyle w:val="2"/>
        <w:spacing w:before="71" w:line="219" w:lineRule="auto"/>
        <w:ind w:left="27"/>
      </w:pPr>
      <w:r>
        <w:rPr>
          <w:spacing w:val="-2"/>
        </w:rPr>
        <w:t>二、项目编号：</w:t>
      </w:r>
    </w:p>
    <w:p w14:paraId="6FDB6A2F">
      <w:pPr>
        <w:pStyle w:val="2"/>
        <w:spacing w:before="74" w:line="219" w:lineRule="auto"/>
        <w:ind w:left="23"/>
        <w:rPr>
          <w:rFonts w:hint="default" w:eastAsia="宋体"/>
          <w:lang w:val="en-US" w:eastAsia="zh-CN"/>
        </w:rPr>
      </w:pPr>
      <w:r>
        <w:rPr>
          <w:spacing w:val="-2"/>
        </w:rPr>
        <w:t>三、采购预算：</w:t>
      </w:r>
      <w:r>
        <w:rPr>
          <w:rFonts w:hint="eastAsia"/>
          <w:spacing w:val="-2"/>
          <w:lang w:val="en-US" w:eastAsia="zh-CN"/>
        </w:rPr>
        <w:t>8.1万</w:t>
      </w:r>
    </w:p>
    <w:p w14:paraId="631FCD27">
      <w:pPr>
        <w:pStyle w:val="2"/>
        <w:spacing w:before="72" w:line="219" w:lineRule="auto"/>
        <w:ind w:left="46"/>
      </w:pPr>
      <w:r>
        <w:rPr>
          <w:spacing w:val="-5"/>
        </w:rPr>
        <w:t>四、采购内容：</w:t>
      </w:r>
    </w:p>
    <w:p w14:paraId="60637084">
      <w:pPr>
        <w:pStyle w:val="2"/>
        <w:spacing w:before="73" w:line="219" w:lineRule="auto"/>
        <w:ind w:left="461"/>
        <w:rPr>
          <w:spacing w:val="-4"/>
        </w:rPr>
      </w:pPr>
      <w:r>
        <w:rPr>
          <w:spacing w:val="-4"/>
        </w:rPr>
        <w:t>1.采购需求：</w:t>
      </w:r>
    </w:p>
    <w:p w14:paraId="467B790D">
      <w:pPr>
        <w:pStyle w:val="2"/>
        <w:keepNext w:val="0"/>
        <w:keepLines w:val="0"/>
        <w:pageBreakBefore w:val="0"/>
        <w:widowControl/>
        <w:kinsoku w:val="0"/>
        <w:wordWrap/>
        <w:overflowPunct/>
        <w:topLinePunct w:val="0"/>
        <w:autoSpaceDE w:val="0"/>
        <w:autoSpaceDN w:val="0"/>
        <w:bidi w:val="0"/>
        <w:adjustRightInd w:val="0"/>
        <w:snapToGrid w:val="0"/>
        <w:spacing w:before="73" w:line="360" w:lineRule="auto"/>
        <w:ind w:left="459"/>
        <w:textAlignment w:val="baseline"/>
        <w:rPr>
          <w:rFonts w:hint="eastAsia"/>
          <w:spacing w:val="-4"/>
          <w:lang w:val="en-US" w:eastAsia="zh-CN"/>
        </w:rPr>
      </w:pPr>
      <w:r>
        <w:rPr>
          <w:rFonts w:hint="eastAsia"/>
          <w:spacing w:val="-4"/>
          <w:lang w:eastAsia="zh-CN"/>
        </w:rPr>
        <w:t>（</w:t>
      </w:r>
      <w:r>
        <w:rPr>
          <w:rFonts w:hint="eastAsia"/>
          <w:spacing w:val="-4"/>
          <w:lang w:val="en-US" w:eastAsia="zh-CN"/>
        </w:rPr>
        <w:t>1）个性化资源库建设：支持上传pdf格式的教学资源，上传的资源可进行切片处理，同时需提供开关控制功能，教师能够决定每个文档是否启用切片解析功能；支持按照电子教材、讲义课件、相关论文、习题试卷、往年作业、相关案例、其他资料等分类上传资源；支持关联已有的课程资源，包括已建设的课程资源和教学班发布的教学内容；支持通过本地教材或知识库教材通过人工智能对教材进行碎片化处理及知识点归纳总结，直接生成课程知识图谱；支持知识图谱树状结构、网状结构、自定义结构三种模式进行编辑；支持知识点与课程资源进行关联，支持“图文”“视频”“讨论”等学习单元，支持对学习单元进行检索；支持教师可以选择是否开放给学生，选择开放给学生，学生在自己的教学班中就可以查看到对应的知识图谱；</w:t>
      </w:r>
    </w:p>
    <w:p w14:paraId="6CFED328">
      <w:pPr>
        <w:pStyle w:val="2"/>
        <w:keepNext w:val="0"/>
        <w:keepLines w:val="0"/>
        <w:pageBreakBefore w:val="0"/>
        <w:widowControl/>
        <w:kinsoku w:val="0"/>
        <w:wordWrap/>
        <w:overflowPunct/>
        <w:topLinePunct w:val="0"/>
        <w:autoSpaceDE w:val="0"/>
        <w:autoSpaceDN w:val="0"/>
        <w:bidi w:val="0"/>
        <w:adjustRightInd w:val="0"/>
        <w:snapToGrid w:val="0"/>
        <w:spacing w:before="73" w:line="360" w:lineRule="auto"/>
        <w:ind w:left="459"/>
        <w:textAlignment w:val="baseline"/>
        <w:rPr>
          <w:rFonts w:hint="eastAsia" w:ascii="宋体" w:hAnsi="宋体" w:eastAsia="宋体" w:cs="宋体"/>
          <w:spacing w:val="-4"/>
          <w:lang w:val="en-US" w:eastAsia="zh-CN"/>
        </w:rPr>
      </w:pPr>
      <w:r>
        <w:rPr>
          <w:rFonts w:hint="eastAsia"/>
          <w:spacing w:val="-4"/>
          <w:lang w:val="en-US" w:eastAsia="zh-CN"/>
        </w:rPr>
        <w:t>（2）</w:t>
      </w:r>
      <w:r>
        <w:rPr>
          <w:rFonts w:hint="eastAsia" w:ascii="宋体" w:hAnsi="宋体" w:eastAsia="宋体" w:cs="宋体"/>
          <w:spacing w:val="-4"/>
          <w:lang w:val="en-US" w:eastAsia="zh-CN"/>
        </w:rPr>
        <w:t>智能学习助手：基于课程模型进行知识答疑，满足学生在任何时间的学习需求，无论是基础知识还是拓展知识，学生随时都可以向系统提问，获得及时的解答；支持教师填写AI学伴回答反馈意见，至少包括具体问题及正确回答，同时支持设置是否将反馈回答加入答案库，用于后续相同问题的答案；</w:t>
      </w:r>
    </w:p>
    <w:p w14:paraId="1821B5BC">
      <w:pPr>
        <w:pStyle w:val="2"/>
        <w:keepNext w:val="0"/>
        <w:keepLines w:val="0"/>
        <w:pageBreakBefore w:val="0"/>
        <w:widowControl/>
        <w:kinsoku w:val="0"/>
        <w:wordWrap/>
        <w:overflowPunct/>
        <w:topLinePunct w:val="0"/>
        <w:autoSpaceDE w:val="0"/>
        <w:autoSpaceDN w:val="0"/>
        <w:bidi w:val="0"/>
        <w:adjustRightInd w:val="0"/>
        <w:snapToGrid w:val="0"/>
        <w:spacing w:before="73" w:line="360" w:lineRule="auto"/>
        <w:ind w:left="459"/>
        <w:textAlignment w:val="baseline"/>
        <w:rPr>
          <w:rFonts w:hint="eastAsia" w:ascii="宋体" w:hAnsi="宋体" w:eastAsia="宋体" w:cs="宋体"/>
          <w:spacing w:val="-4"/>
          <w:lang w:val="en-US" w:eastAsia="zh-CN"/>
        </w:rPr>
      </w:pPr>
      <w:r>
        <w:rPr>
          <w:rFonts w:hint="eastAsia" w:ascii="宋体" w:hAnsi="宋体" w:eastAsia="宋体" w:cs="宋体"/>
          <w:spacing w:val="-4"/>
          <w:lang w:val="en-US" w:eastAsia="zh-CN"/>
        </w:rPr>
        <w:t>（3)智能批改:支持教师设置多个批改规则，包含评分项目，详细指标，指标权重从而计算出评价分数，同时支持是否开启智能点评，教师可设置点评方向和点评风格；支持教师发布主观题到教学班，支持教师进入教学班中选择是否进行智能批改，包括选择智能批改的评分标准、是为当前学生进行智能批改或全班学生进行批改；支持教师选择智能批改完成后是否需要经过教师审核，如不需审核，将直接生成批注和评语发送给学生，学生分数仅供参考，实际分数需要教师手动打分；</w:t>
      </w:r>
    </w:p>
    <w:p w14:paraId="3C6A402C">
      <w:pPr>
        <w:pStyle w:val="2"/>
        <w:keepNext w:val="0"/>
        <w:keepLines w:val="0"/>
        <w:pageBreakBefore w:val="0"/>
        <w:widowControl/>
        <w:kinsoku w:val="0"/>
        <w:wordWrap/>
        <w:overflowPunct/>
        <w:topLinePunct w:val="0"/>
        <w:autoSpaceDE w:val="0"/>
        <w:autoSpaceDN w:val="0"/>
        <w:bidi w:val="0"/>
        <w:adjustRightInd w:val="0"/>
        <w:snapToGrid w:val="0"/>
        <w:spacing w:before="73" w:line="360" w:lineRule="auto"/>
        <w:ind w:left="459"/>
        <w:textAlignment w:val="baseline"/>
        <w:rPr>
          <w:rFonts w:hint="eastAsia" w:ascii="宋体" w:hAnsi="宋体" w:eastAsia="宋体" w:cs="宋体"/>
          <w:spacing w:val="-4"/>
          <w:lang w:val="en-US" w:eastAsia="zh-CN"/>
        </w:rPr>
      </w:pPr>
      <w:r>
        <w:rPr>
          <w:rFonts w:hint="eastAsia" w:ascii="宋体" w:hAnsi="宋体" w:eastAsia="宋体" w:cs="宋体"/>
          <w:spacing w:val="-4"/>
          <w:lang w:val="en-US" w:eastAsia="zh-CN"/>
        </w:rPr>
        <w:t>（4）智能备课：支持教师将在线文档编辑完成后，直接发布到教学班；支持教师设置发布时间、是否计入考核、考核截止时间、是否允许评论、是否微信消息提醒；需支持在PPT插件中，根据选中文字，AI生成生成案例，生成的案例可以一键插入PPT指定位置中，不能手动粘贴插入，全流程不能使用PPT以外的其他程序，也不能使用网页形式，以便于教师在PPT备课时的一站式备课体验；</w:t>
      </w:r>
    </w:p>
    <w:p w14:paraId="3550BC85">
      <w:pPr>
        <w:pStyle w:val="2"/>
        <w:keepNext w:val="0"/>
        <w:keepLines w:val="0"/>
        <w:pageBreakBefore w:val="0"/>
        <w:widowControl/>
        <w:kinsoku w:val="0"/>
        <w:wordWrap/>
        <w:overflowPunct/>
        <w:topLinePunct w:val="0"/>
        <w:autoSpaceDE w:val="0"/>
        <w:autoSpaceDN w:val="0"/>
        <w:bidi w:val="0"/>
        <w:adjustRightInd w:val="0"/>
        <w:snapToGrid w:val="0"/>
        <w:spacing w:before="73" w:line="360" w:lineRule="auto"/>
        <w:ind w:left="459"/>
        <w:textAlignment w:val="baseline"/>
        <w:rPr>
          <w:rFonts w:hint="eastAsia" w:ascii="宋体" w:hAnsi="宋体" w:eastAsia="宋体" w:cs="宋体"/>
          <w:spacing w:val="-4"/>
          <w:lang w:val="en-US" w:eastAsia="zh-CN"/>
        </w:rPr>
      </w:pPr>
      <w:r>
        <w:rPr>
          <w:rFonts w:hint="eastAsia" w:ascii="宋体" w:hAnsi="宋体" w:eastAsia="宋体" w:cs="宋体"/>
          <w:spacing w:val="-4"/>
          <w:lang w:val="en-US" w:eastAsia="zh-CN"/>
        </w:rPr>
        <w:t>（5）</w:t>
      </w:r>
      <w:bookmarkStart w:id="0" w:name="_Toc3091"/>
      <w:r>
        <w:rPr>
          <w:rFonts w:hint="eastAsia" w:ascii="宋体" w:hAnsi="宋体" w:eastAsia="宋体" w:cs="宋体"/>
          <w:spacing w:val="-4"/>
          <w:lang w:val="en-US" w:eastAsia="zh-CN"/>
        </w:rPr>
        <w:t>题库建设</w:t>
      </w:r>
      <w:bookmarkEnd w:id="0"/>
      <w:r>
        <w:rPr>
          <w:rFonts w:hint="eastAsia" w:ascii="宋体" w:hAnsi="宋体" w:eastAsia="宋体" w:cs="宋体"/>
          <w:spacing w:val="-4"/>
          <w:lang w:val="en-US" w:eastAsia="zh-CN"/>
        </w:rPr>
        <w:t>：支持根据知识点出题，教师课设置知识点、难度系数、题目数量、题目类型和具体出题要求，支持设置多个出题要求；支持教师根据AI出题进行意见反馈，同时根据教师反馈意见进行持续优化，支持查看历史出题记录；</w:t>
      </w:r>
    </w:p>
    <w:p w14:paraId="62BD45C9">
      <w:pPr>
        <w:pStyle w:val="2"/>
        <w:keepNext w:val="0"/>
        <w:keepLines w:val="0"/>
        <w:pageBreakBefore w:val="0"/>
        <w:widowControl/>
        <w:kinsoku w:val="0"/>
        <w:wordWrap/>
        <w:overflowPunct/>
        <w:topLinePunct w:val="0"/>
        <w:autoSpaceDE w:val="0"/>
        <w:autoSpaceDN w:val="0"/>
        <w:bidi w:val="0"/>
        <w:adjustRightInd w:val="0"/>
        <w:snapToGrid w:val="0"/>
        <w:spacing w:before="73" w:line="360" w:lineRule="auto"/>
        <w:ind w:left="459"/>
        <w:textAlignment w:val="baseline"/>
        <w:rPr>
          <w:rFonts w:hint="default" w:ascii="宋体" w:hAnsi="宋体" w:eastAsia="宋体" w:cs="宋体"/>
          <w:spacing w:val="-4"/>
          <w:lang w:val="en-US" w:eastAsia="zh-CN"/>
        </w:rPr>
      </w:pPr>
      <w:r>
        <w:rPr>
          <w:rFonts w:hint="eastAsia" w:ascii="宋体" w:hAnsi="宋体" w:eastAsia="宋体" w:cs="宋体"/>
          <w:spacing w:val="-4"/>
          <w:lang w:val="en-US" w:eastAsia="zh-CN"/>
        </w:rPr>
        <w:t>（6）学习空间建设：支持学生通过在课堂直播过程中，点击课件不懂，进行AI助教智能答疑；支持学生通过在教师发布的预习课件，点击课件不懂，进行AI助教智能答疑；</w:t>
      </w:r>
    </w:p>
    <w:p w14:paraId="4DEFD320">
      <w:pPr>
        <w:pStyle w:val="2"/>
        <w:spacing w:before="73" w:line="219" w:lineRule="auto"/>
        <w:ind w:left="461"/>
        <w:rPr>
          <w:rFonts w:hint="default" w:ascii="宋体" w:hAnsi="宋体" w:eastAsia="宋体" w:cs="宋体"/>
          <w:spacing w:val="-4"/>
          <w:lang w:val="en-US" w:eastAsia="zh-CN"/>
        </w:rPr>
      </w:pPr>
    </w:p>
    <w:p w14:paraId="0461462B">
      <w:pPr>
        <w:pStyle w:val="2"/>
        <w:spacing w:before="73" w:line="219" w:lineRule="auto"/>
        <w:rPr>
          <w:rFonts w:hint="default" w:ascii="宋体" w:hAnsi="宋体" w:eastAsia="宋体" w:cs="宋体"/>
          <w:spacing w:val="-4"/>
          <w:lang w:val="en-US" w:eastAsia="zh-CN"/>
        </w:rPr>
      </w:pPr>
      <w:r>
        <w:rPr>
          <w:rFonts w:hint="eastAsia" w:ascii="宋体" w:hAnsi="宋体" w:eastAsia="宋体" w:cs="宋体"/>
          <w:spacing w:val="-4"/>
          <w:lang w:val="en-US" w:eastAsia="zh-CN"/>
        </w:rPr>
        <w:t xml:space="preserve">     </w:t>
      </w:r>
    </w:p>
    <w:p w14:paraId="440A8B49">
      <w:pPr>
        <w:pStyle w:val="2"/>
        <w:spacing w:before="73" w:line="219" w:lineRule="auto"/>
        <w:jc w:val="right"/>
      </w:pPr>
      <w:r>
        <w:rPr>
          <w:spacing w:val="-3"/>
        </w:rPr>
        <w:t>2.交付时间：合同签订后</w:t>
      </w:r>
      <w:r>
        <w:rPr>
          <w:spacing w:val="-3"/>
          <w:u w:val="single" w:color="auto"/>
        </w:rPr>
        <w:t xml:space="preserve">  </w:t>
      </w:r>
      <w:r>
        <w:rPr>
          <w:rFonts w:hint="eastAsia"/>
          <w:spacing w:val="-3"/>
          <w:u w:val="single" w:color="auto"/>
          <w:lang w:val="en-US" w:eastAsia="zh-CN"/>
        </w:rPr>
        <w:t>50</w:t>
      </w:r>
      <w:r>
        <w:rPr>
          <w:spacing w:val="-3"/>
          <w:u w:val="single" w:color="auto"/>
        </w:rPr>
        <w:t xml:space="preserve">  </w:t>
      </w:r>
      <w:r>
        <w:rPr>
          <w:spacing w:val="-66"/>
        </w:rPr>
        <w:t xml:space="preserve"> </w:t>
      </w:r>
      <w:r>
        <w:rPr>
          <w:spacing w:val="-3"/>
        </w:rPr>
        <w:t>日内送至采购单位指定地点并完成安装调试。</w:t>
      </w:r>
    </w:p>
    <w:p w14:paraId="4A6D25AC">
      <w:pPr>
        <w:pStyle w:val="2"/>
        <w:spacing w:before="74" w:line="219" w:lineRule="auto"/>
        <w:ind w:left="448"/>
      </w:pPr>
      <w:r>
        <w:rPr>
          <w:spacing w:val="-1"/>
        </w:rPr>
        <w:t>3.交付地点：南京邮电大学通达学院指定位置。</w:t>
      </w:r>
    </w:p>
    <w:p w14:paraId="2E380922">
      <w:pPr>
        <w:pStyle w:val="2"/>
        <w:spacing w:before="72" w:line="276" w:lineRule="auto"/>
        <w:ind w:left="512" w:right="13" w:hanging="485"/>
      </w:pPr>
      <w:r>
        <w:rPr>
          <w:spacing w:val="-3"/>
        </w:rPr>
        <w:t>五、参与磋商的供应商应具备的资格条件（供应商自行对照如下资格条件</w:t>
      </w:r>
      <w:r>
        <w:rPr>
          <w:spacing w:val="-4"/>
        </w:rPr>
        <w:t>并对此</w:t>
      </w:r>
      <w:r>
        <w:t xml:space="preserve"> </w:t>
      </w:r>
      <w:r>
        <w:rPr>
          <w:spacing w:val="-2"/>
        </w:rPr>
        <w:t>负责，提交报价文件时无须提供）</w:t>
      </w:r>
    </w:p>
    <w:p w14:paraId="275413CC">
      <w:pPr>
        <w:pStyle w:val="2"/>
        <w:spacing w:before="1" w:line="219" w:lineRule="auto"/>
        <w:ind w:left="461"/>
      </w:pPr>
      <w:r>
        <w:rPr>
          <w:spacing w:val="-2"/>
        </w:rPr>
        <w:t>1.具有独立承担民事责任的能力；</w:t>
      </w:r>
    </w:p>
    <w:p w14:paraId="3ECA923B">
      <w:pPr>
        <w:pStyle w:val="2"/>
        <w:spacing w:before="72" w:line="219" w:lineRule="auto"/>
        <w:ind w:left="446"/>
      </w:pPr>
      <w:r>
        <w:rPr>
          <w:spacing w:val="-2"/>
        </w:rPr>
        <w:t>2.具有良好的商业信誉：</w:t>
      </w:r>
    </w:p>
    <w:p w14:paraId="7EEB4A98">
      <w:pPr>
        <w:pStyle w:val="2"/>
        <w:spacing w:before="73" w:line="219" w:lineRule="auto"/>
        <w:ind w:left="448"/>
      </w:pPr>
      <w:r>
        <w:rPr>
          <w:spacing w:val="-1"/>
        </w:rPr>
        <w:t>3.具有履行合同所必需的设备和专业技术能力；</w:t>
      </w:r>
    </w:p>
    <w:p w14:paraId="4E87BD0E">
      <w:pPr>
        <w:pStyle w:val="2"/>
        <w:spacing w:before="72" w:line="219" w:lineRule="auto"/>
        <w:ind w:left="442"/>
      </w:pPr>
      <w:r>
        <w:rPr>
          <w:spacing w:val="-1"/>
        </w:rPr>
        <w:t>4.有依法缴纳税收的良好记录；</w:t>
      </w:r>
    </w:p>
    <w:p w14:paraId="0A645693">
      <w:pPr>
        <w:pStyle w:val="2"/>
        <w:spacing w:before="73" w:line="219" w:lineRule="auto"/>
        <w:ind w:left="448"/>
      </w:pPr>
      <w:r>
        <w:rPr>
          <w:spacing w:val="-1"/>
        </w:rPr>
        <w:t>5.参加本次采购活动前三年内，在经营活动中没有重大违法记录；</w:t>
      </w:r>
    </w:p>
    <w:p w14:paraId="359FCF02">
      <w:pPr>
        <w:pStyle w:val="2"/>
        <w:spacing w:before="77" w:line="219" w:lineRule="auto"/>
        <w:ind w:left="445"/>
      </w:pPr>
      <w:r>
        <w:rPr>
          <w:spacing w:val="-1"/>
        </w:rPr>
        <w:t>6.法律、行政法规规定的其他条件；</w:t>
      </w:r>
    </w:p>
    <w:p w14:paraId="5612B5E5">
      <w:pPr>
        <w:pStyle w:val="2"/>
        <w:spacing w:before="70" w:line="219" w:lineRule="auto"/>
        <w:ind w:left="25"/>
      </w:pPr>
      <w:r>
        <w:rPr>
          <w:spacing w:val="-2"/>
        </w:rPr>
        <w:t>六、商务要求</w:t>
      </w:r>
    </w:p>
    <w:p w14:paraId="07C3EA29">
      <w:pPr>
        <w:pStyle w:val="2"/>
        <w:spacing w:before="76" w:line="264" w:lineRule="auto"/>
        <w:ind w:left="22" w:right="13" w:firstLine="438"/>
      </w:pPr>
      <w:r>
        <w:rPr>
          <w:spacing w:val="-2"/>
        </w:rPr>
        <w:t>1.供货要求：供应商负责将货物运到扬州市邗江区润扬南路</w:t>
      </w:r>
      <w:r>
        <w:rPr>
          <w:spacing w:val="-36"/>
        </w:rPr>
        <w:t xml:space="preserve"> </w:t>
      </w:r>
      <w:r>
        <w:rPr>
          <w:spacing w:val="-2"/>
        </w:rPr>
        <w:t>33</w:t>
      </w:r>
      <w:r>
        <w:rPr>
          <w:spacing w:val="-45"/>
        </w:rPr>
        <w:t xml:space="preserve"> </w:t>
      </w:r>
      <w:r>
        <w:rPr>
          <w:spacing w:val="-2"/>
        </w:rPr>
        <w:t>号南京邮电</w:t>
      </w:r>
      <w:r>
        <w:t xml:space="preserve"> </w:t>
      </w:r>
      <w:r>
        <w:rPr>
          <w:spacing w:val="-3"/>
        </w:rPr>
        <w:t>大学通达学院指定安装地点，并安装到位，由供应商负责办理运输和装卸及原有</w:t>
      </w:r>
      <w:r>
        <w:rPr>
          <w:spacing w:val="1"/>
        </w:rPr>
        <w:t xml:space="preserve"> </w:t>
      </w:r>
      <w:r>
        <w:rPr>
          <w:spacing w:val="-3"/>
        </w:rPr>
        <w:t>设备的拆除等，费用由供应商负责，安装完毕由采购人或指定单位组织验收，检</w:t>
      </w:r>
      <w:r>
        <w:rPr>
          <w:spacing w:val="1"/>
        </w:rPr>
        <w:t xml:space="preserve"> </w:t>
      </w:r>
      <w:r>
        <w:rPr>
          <w:spacing w:val="-3"/>
        </w:rPr>
        <w:t>验不合格或不符合质量要求，供应商除无条件退货、返工外，还应承担采购人的</w:t>
      </w:r>
      <w:r>
        <w:t xml:space="preserve"> </w:t>
      </w:r>
      <w:r>
        <w:rPr>
          <w:spacing w:val="-2"/>
        </w:rPr>
        <w:t>一切损失。</w:t>
      </w:r>
    </w:p>
    <w:p w14:paraId="4ACF2E69">
      <w:pPr>
        <w:pStyle w:val="2"/>
        <w:spacing w:before="95" w:line="219" w:lineRule="auto"/>
        <w:ind w:left="506"/>
      </w:pPr>
      <w:r>
        <w:rPr>
          <w:spacing w:val="-1"/>
        </w:rPr>
        <w:t>2.质保</w:t>
      </w:r>
      <w:r>
        <w:rPr>
          <w:spacing w:val="-1"/>
          <w:u w:val="single" w:color="auto"/>
        </w:rPr>
        <w:t xml:space="preserve">  </w:t>
      </w:r>
      <w:r>
        <w:rPr>
          <w:rFonts w:hint="eastAsia"/>
          <w:spacing w:val="-1"/>
          <w:u w:val="single" w:color="auto"/>
          <w:lang w:val="en-US" w:eastAsia="zh-CN"/>
        </w:rPr>
        <w:t>1</w:t>
      </w:r>
      <w:r>
        <w:rPr>
          <w:spacing w:val="-1"/>
          <w:u w:val="single" w:color="auto"/>
        </w:rPr>
        <w:t xml:space="preserve">  </w:t>
      </w:r>
      <w:r>
        <w:rPr>
          <w:spacing w:val="-102"/>
        </w:rPr>
        <w:t xml:space="preserve"> </w:t>
      </w:r>
      <w:r>
        <w:rPr>
          <w:spacing w:val="-1"/>
        </w:rPr>
        <w:t>年。质保期内因维修产生的一切费用均由中标人承担。</w:t>
      </w:r>
    </w:p>
    <w:p w14:paraId="40261B87">
      <w:pPr>
        <w:pStyle w:val="2"/>
        <w:spacing w:before="78" w:line="266" w:lineRule="auto"/>
        <w:ind w:left="22" w:right="13" w:firstLine="485"/>
      </w:pPr>
      <w:r>
        <w:rPr>
          <w:spacing w:val="-3"/>
        </w:rPr>
        <w:t>3.报价要求：投标总报价一次报定，包括乙方所提供货物的</w:t>
      </w:r>
      <w:r>
        <w:rPr>
          <w:spacing w:val="-4"/>
        </w:rPr>
        <w:t>全部设备、辅助</w:t>
      </w:r>
      <w:r>
        <w:t xml:space="preserve"> </w:t>
      </w:r>
      <w:r>
        <w:rPr>
          <w:spacing w:val="-3"/>
        </w:rPr>
        <w:t>材料、备品、备件、安装、调试、人工、机械、运输、仓储、保险、运费、各种</w:t>
      </w:r>
      <w:r>
        <w:t xml:space="preserve"> </w:t>
      </w:r>
      <w:r>
        <w:rPr>
          <w:spacing w:val="-3"/>
        </w:rPr>
        <w:t>税费、劳保、专利技术、培训、技术支持及质保期间等有关的为完成本项目发生</w:t>
      </w:r>
      <w:r>
        <w:rPr>
          <w:spacing w:val="2"/>
        </w:rPr>
        <w:t xml:space="preserve"> </w:t>
      </w:r>
      <w:r>
        <w:rPr>
          <w:spacing w:val="-3"/>
        </w:rPr>
        <w:t>的所有费用。承包风险由投标单位自行承担。未考虑的投标遗漏，视同此遗漏已</w:t>
      </w:r>
      <w:r>
        <w:rPr>
          <w:spacing w:val="1"/>
        </w:rPr>
        <w:t xml:space="preserve"> </w:t>
      </w:r>
      <w:r>
        <w:rPr>
          <w:spacing w:val="5"/>
        </w:rPr>
        <w:t>经包含在投标人的投标报价中，签订合同时不得增补。报价可保留小数点后</w:t>
      </w:r>
      <w:r>
        <w:rPr>
          <w:spacing w:val="-36"/>
        </w:rPr>
        <w:t xml:space="preserve"> </w:t>
      </w:r>
      <w:r>
        <w:rPr>
          <w:spacing w:val="5"/>
        </w:rPr>
        <w:t>2</w:t>
      </w:r>
      <w:r>
        <w:t xml:space="preserve"> </w:t>
      </w:r>
      <w:r>
        <w:rPr>
          <w:spacing w:val="-3"/>
        </w:rPr>
        <w:t>位小数。</w:t>
      </w:r>
    </w:p>
    <w:p w14:paraId="3053220E">
      <w:pPr>
        <w:pStyle w:val="2"/>
        <w:spacing w:before="75" w:line="219" w:lineRule="auto"/>
        <w:ind w:left="502"/>
      </w:pPr>
      <w:r>
        <w:rPr>
          <w:spacing w:val="2"/>
        </w:rPr>
        <w:t>4.付款方式</w:t>
      </w:r>
      <w:r>
        <w:rPr>
          <w:spacing w:val="-59"/>
          <w:w w:val="93"/>
        </w:rPr>
        <w:t>：（</w:t>
      </w:r>
      <w:r>
        <w:rPr>
          <w:spacing w:val="2"/>
        </w:rPr>
        <w:t>仅供参考）</w:t>
      </w:r>
    </w:p>
    <w:p w14:paraId="0F344CB8">
      <w:pPr>
        <w:pStyle w:val="2"/>
        <w:spacing w:before="48" w:line="276" w:lineRule="auto"/>
        <w:ind w:left="24" w:right="13" w:firstLine="480"/>
      </w:pPr>
      <w:r>
        <w:rPr>
          <w:spacing w:val="-3"/>
        </w:rPr>
        <w:t>本采购项目无预付款，经甲乙双方共同验收，合格</w:t>
      </w:r>
      <w:r>
        <w:rPr>
          <w:rFonts w:hint="eastAsia"/>
          <w:spacing w:val="-3"/>
          <w:lang w:val="en-US" w:eastAsia="zh-CN"/>
        </w:rPr>
        <w:t>后付全额服务费</w:t>
      </w:r>
      <w:r>
        <w:t>。甲方付款前乙方需提供合法、</w:t>
      </w:r>
      <w:r>
        <w:rPr>
          <w:spacing w:val="15"/>
        </w:rPr>
        <w:t xml:space="preserve"> </w:t>
      </w:r>
      <w:r>
        <w:t>有效、等额的增值税专用发票，否则甲方有权拒付相应款项。(</w:t>
      </w:r>
    </w:p>
    <w:p w14:paraId="49C0CDF1">
      <w:pPr>
        <w:pStyle w:val="2"/>
        <w:spacing w:line="220" w:lineRule="auto"/>
        <w:ind w:left="22"/>
      </w:pPr>
      <w:r>
        <w:rPr>
          <w:spacing w:val="-1"/>
        </w:rPr>
        <w:t>七、开标时间、地点及评标原则</w:t>
      </w:r>
    </w:p>
    <w:p w14:paraId="5ADC4890">
      <w:pPr>
        <w:spacing w:line="349" w:lineRule="auto"/>
        <w:rPr>
          <w:rFonts w:ascii="Arial"/>
          <w:sz w:val="21"/>
        </w:rPr>
      </w:pPr>
    </w:p>
    <w:p w14:paraId="47893167">
      <w:pPr>
        <w:spacing w:line="220" w:lineRule="auto"/>
        <w:sectPr>
          <w:pgSz w:w="11906" w:h="16839"/>
          <w:pgMar w:top="1431" w:right="1785" w:bottom="0" w:left="1785" w:header="0" w:footer="0" w:gutter="0"/>
          <w:cols w:space="720" w:num="1"/>
        </w:sectPr>
      </w:pPr>
    </w:p>
    <w:p w14:paraId="7AB799AE">
      <w:pPr>
        <w:pStyle w:val="2"/>
        <w:spacing w:before="48" w:line="221" w:lineRule="auto"/>
        <w:ind w:left="559"/>
        <w:rPr>
          <w:rFonts w:hint="default" w:eastAsia="宋体"/>
          <w:lang w:val="en-US" w:eastAsia="zh-CN"/>
        </w:rPr>
      </w:pPr>
      <w:r>
        <w:rPr>
          <w:spacing w:val="-6"/>
        </w:rPr>
        <w:t>1.时间：</w:t>
      </w:r>
      <w:r>
        <w:rPr>
          <w:rFonts w:hint="eastAsia"/>
          <w:spacing w:val="-6"/>
          <w:lang w:val="en-US" w:eastAsia="zh-CN"/>
        </w:rPr>
        <w:t>2025.9.25下午3点</w:t>
      </w:r>
    </w:p>
    <w:p w14:paraId="1722511E">
      <w:pPr>
        <w:pStyle w:val="2"/>
        <w:spacing w:before="69" w:line="224" w:lineRule="auto"/>
        <w:ind w:left="545"/>
        <w:rPr>
          <w:rFonts w:hint="default" w:eastAsia="宋体"/>
          <w:lang w:val="en-US" w:eastAsia="zh-CN"/>
        </w:rPr>
      </w:pPr>
      <w:r>
        <w:rPr>
          <w:spacing w:val="-3"/>
        </w:rPr>
        <w:t>2.地点：</w:t>
      </w:r>
      <w:r>
        <w:rPr>
          <w:rFonts w:hint="eastAsia"/>
          <w:spacing w:val="-3"/>
          <w:lang w:val="en-US" w:eastAsia="zh-CN"/>
        </w:rPr>
        <w:t>南京邮电大学三牌楼校区有线楼306</w:t>
      </w:r>
    </w:p>
    <w:p w14:paraId="54891493">
      <w:pPr>
        <w:pStyle w:val="2"/>
        <w:spacing w:before="164" w:line="288" w:lineRule="auto"/>
        <w:ind w:left="128" w:right="607" w:firstLine="358"/>
      </w:pPr>
      <w:r>
        <w:t>3.评标原则：根据最终报价、质量、服务等因素综合评定，按评审得分由高</w:t>
      </w:r>
      <w:r>
        <w:rPr>
          <w:spacing w:val="11"/>
        </w:rPr>
        <w:t xml:space="preserve"> </w:t>
      </w:r>
      <w:r>
        <w:rPr>
          <w:spacing w:val="-3"/>
        </w:rPr>
        <w:t>到低的原则确定成交供应商。（采购人根据项目特点明确报价、质</w:t>
      </w:r>
      <w:r>
        <w:rPr>
          <w:spacing w:val="-4"/>
        </w:rPr>
        <w:t>量、服务等评</w:t>
      </w:r>
      <w:r>
        <w:t xml:space="preserve"> </w:t>
      </w:r>
      <w:r>
        <w:rPr>
          <w:spacing w:val="-2"/>
        </w:rPr>
        <w:t>审因素的权重或分值）</w:t>
      </w:r>
    </w:p>
    <w:p w14:paraId="7D5A6557">
      <w:pPr>
        <w:pStyle w:val="2"/>
        <w:spacing w:before="254" w:line="219" w:lineRule="auto"/>
        <w:ind w:left="126"/>
      </w:pPr>
      <w:r>
        <w:rPr>
          <w:spacing w:val="-2"/>
        </w:rPr>
        <w:t>八、评分标准（最后附参考）</w:t>
      </w:r>
    </w:p>
    <w:p w14:paraId="10C1123C">
      <w:pPr>
        <w:pStyle w:val="2"/>
        <w:spacing w:before="160" w:line="247" w:lineRule="auto"/>
        <w:ind w:left="124" w:right="660" w:firstLine="3"/>
      </w:pPr>
      <w:r>
        <w:rPr>
          <w:b/>
          <w:bCs/>
          <w:spacing w:val="-4"/>
        </w:rPr>
        <w:t>九、缴纳费用：投标单位须在投标时缴纳</w:t>
      </w:r>
      <w:r>
        <w:rPr>
          <w:spacing w:val="-27"/>
        </w:rPr>
        <w:t xml:space="preserve"> </w:t>
      </w:r>
      <w:r>
        <w:rPr>
          <w:b/>
          <w:bCs/>
          <w:spacing w:val="-4"/>
        </w:rPr>
        <w:t>100</w:t>
      </w:r>
      <w:r>
        <w:rPr>
          <w:spacing w:val="-48"/>
        </w:rPr>
        <w:t xml:space="preserve"> </w:t>
      </w:r>
      <w:r>
        <w:rPr>
          <w:b/>
          <w:bCs/>
          <w:spacing w:val="-4"/>
        </w:rPr>
        <w:t>元标书费，中标单位需缴纳</w:t>
      </w:r>
      <w:r>
        <w:rPr>
          <w:spacing w:val="-33"/>
        </w:rPr>
        <w:t xml:space="preserve"> </w:t>
      </w:r>
      <w:r>
        <w:rPr>
          <w:b/>
          <w:bCs/>
          <w:spacing w:val="-4"/>
        </w:rPr>
        <w:t>1000</w:t>
      </w:r>
      <w:r>
        <w:t xml:space="preserve"> </w:t>
      </w:r>
      <w:r>
        <w:rPr>
          <w:b/>
          <w:bCs/>
          <w:spacing w:val="-3"/>
        </w:rPr>
        <w:t>元项目中标服务费。</w:t>
      </w:r>
    </w:p>
    <w:p w14:paraId="4AF651FF">
      <w:pPr>
        <w:pStyle w:val="2"/>
        <w:spacing w:before="75" w:line="248" w:lineRule="auto"/>
        <w:ind w:left="543" w:right="6513" w:hanging="420"/>
        <w:rPr>
          <w:rFonts w:hint="default" w:eastAsia="宋体"/>
          <w:lang w:val="en-US" w:eastAsia="zh-CN"/>
        </w:rPr>
      </w:pPr>
      <w:r>
        <w:rPr>
          <w:spacing w:val="-2"/>
        </w:rPr>
        <w:t>十、联系人及联系方式</w:t>
      </w:r>
      <w:r>
        <w:rPr>
          <w:spacing w:val="8"/>
        </w:rPr>
        <w:t xml:space="preserve"> </w:t>
      </w:r>
      <w:r>
        <w:rPr>
          <w:spacing w:val="-9"/>
        </w:rPr>
        <w:t>联</w:t>
      </w:r>
      <w:r>
        <w:rPr>
          <w:spacing w:val="14"/>
        </w:rPr>
        <w:t xml:space="preserve"> </w:t>
      </w:r>
      <w:r>
        <w:rPr>
          <w:spacing w:val="-9"/>
        </w:rPr>
        <w:t>系</w:t>
      </w:r>
      <w:r>
        <w:rPr>
          <w:spacing w:val="11"/>
        </w:rPr>
        <w:t xml:space="preserve"> </w:t>
      </w:r>
      <w:r>
        <w:rPr>
          <w:spacing w:val="-9"/>
        </w:rPr>
        <w:t>人：</w:t>
      </w:r>
      <w:r>
        <w:rPr>
          <w:rFonts w:hint="eastAsia"/>
          <w:spacing w:val="-9"/>
          <w:lang w:val="en-US" w:eastAsia="zh-CN"/>
        </w:rPr>
        <w:t>李淑娟</w:t>
      </w:r>
    </w:p>
    <w:p w14:paraId="273E6795">
      <w:pPr>
        <w:pStyle w:val="2"/>
        <w:spacing w:before="71" w:line="221" w:lineRule="auto"/>
        <w:ind w:left="543"/>
        <w:rPr>
          <w:rFonts w:hint="default" w:eastAsia="宋体"/>
          <w:lang w:val="en-US" w:eastAsia="zh-CN"/>
        </w:rPr>
      </w:pPr>
      <w:r>
        <w:rPr>
          <w:spacing w:val="4"/>
        </w:rPr>
        <w:t>联系电话：</w:t>
      </w:r>
      <w:r>
        <w:t xml:space="preserve"> </w:t>
      </w:r>
      <w:r>
        <w:rPr>
          <w:rFonts w:hint="eastAsia"/>
          <w:lang w:val="en-US" w:eastAsia="zh-CN"/>
        </w:rPr>
        <w:t>83535862</w:t>
      </w:r>
      <w:r>
        <w:t xml:space="preserve">         Email</w:t>
      </w:r>
      <w:r>
        <w:rPr>
          <w:spacing w:val="4"/>
        </w:rPr>
        <w:t>:</w:t>
      </w:r>
      <w:r>
        <w:rPr>
          <w:rFonts w:hint="eastAsia"/>
          <w:spacing w:val="4"/>
          <w:lang w:val="en-US" w:eastAsia="zh-CN"/>
        </w:rPr>
        <w:t>glxb@njupt.edu.cn</w:t>
      </w:r>
    </w:p>
    <w:p w14:paraId="1D0DB56A">
      <w:pPr>
        <w:pStyle w:val="2"/>
        <w:spacing w:before="69" w:line="218" w:lineRule="auto"/>
        <w:ind w:left="123"/>
      </w:pPr>
      <w:r>
        <w:rPr>
          <w:spacing w:val="-1"/>
        </w:rPr>
        <w:t>十一、请供应商按磋商响应报价表格式报价并在开标时间前送达。</w:t>
      </w:r>
    </w:p>
    <w:p w14:paraId="5C278082">
      <w:pPr>
        <w:pStyle w:val="2"/>
        <w:spacing w:before="74" w:line="218" w:lineRule="auto"/>
        <w:ind w:left="121"/>
      </w:pPr>
      <w:r>
        <w:rPr>
          <w:b/>
          <w:bCs/>
          <w:spacing w:val="-2"/>
        </w:rPr>
        <w:t>磋商响应报价表（表格格式可根据项目特点自行设计）</w:t>
      </w:r>
    </w:p>
    <w:p w14:paraId="7BCC32A2">
      <w:pPr>
        <w:spacing w:line="76" w:lineRule="exact"/>
      </w:pPr>
    </w:p>
    <w:tbl>
      <w:tblPr>
        <w:tblStyle w:val="5"/>
        <w:tblW w:w="90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3022"/>
        <w:gridCol w:w="708"/>
        <w:gridCol w:w="660"/>
        <w:gridCol w:w="830"/>
        <w:gridCol w:w="923"/>
        <w:gridCol w:w="2213"/>
      </w:tblGrid>
      <w:tr w14:paraId="09E38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65" w:type="dxa"/>
            <w:vAlign w:val="top"/>
          </w:tcPr>
          <w:p w14:paraId="02F0084C">
            <w:pPr>
              <w:spacing w:before="111" w:line="231" w:lineRule="auto"/>
              <w:ind w:left="121"/>
              <w:rPr>
                <w:rFonts w:ascii="仿宋" w:hAnsi="仿宋" w:eastAsia="仿宋" w:cs="仿宋"/>
                <w:sz w:val="20"/>
                <w:szCs w:val="20"/>
              </w:rPr>
            </w:pPr>
            <w:r>
              <w:rPr>
                <w:rFonts w:ascii="仿宋" w:hAnsi="仿宋" w:eastAsia="仿宋" w:cs="仿宋"/>
                <w:b/>
                <w:bCs/>
                <w:spacing w:val="1"/>
                <w:sz w:val="20"/>
                <w:szCs w:val="20"/>
              </w:rPr>
              <w:t>序号</w:t>
            </w:r>
          </w:p>
        </w:tc>
        <w:tc>
          <w:tcPr>
            <w:tcW w:w="3022" w:type="dxa"/>
            <w:vAlign w:val="top"/>
          </w:tcPr>
          <w:p w14:paraId="75F1731E">
            <w:pPr>
              <w:spacing w:before="111" w:line="229" w:lineRule="auto"/>
              <w:ind w:left="117"/>
              <w:rPr>
                <w:rFonts w:ascii="仿宋" w:hAnsi="仿宋" w:eastAsia="仿宋" w:cs="仿宋"/>
                <w:sz w:val="20"/>
                <w:szCs w:val="20"/>
              </w:rPr>
            </w:pPr>
            <w:r>
              <w:rPr>
                <w:rFonts w:ascii="仿宋" w:hAnsi="仿宋" w:eastAsia="仿宋" w:cs="仿宋"/>
                <w:b/>
                <w:bCs/>
                <w:sz w:val="20"/>
                <w:szCs w:val="20"/>
              </w:rPr>
              <w:t>名称</w:t>
            </w:r>
          </w:p>
        </w:tc>
        <w:tc>
          <w:tcPr>
            <w:tcW w:w="708" w:type="dxa"/>
            <w:vAlign w:val="top"/>
          </w:tcPr>
          <w:p w14:paraId="3052068E">
            <w:pPr>
              <w:spacing w:before="111" w:line="229" w:lineRule="auto"/>
              <w:ind w:left="122"/>
              <w:rPr>
                <w:rFonts w:ascii="仿宋" w:hAnsi="仿宋" w:eastAsia="仿宋" w:cs="仿宋"/>
                <w:sz w:val="20"/>
                <w:szCs w:val="20"/>
              </w:rPr>
            </w:pPr>
            <w:r>
              <w:rPr>
                <w:rFonts w:ascii="仿宋" w:hAnsi="仿宋" w:eastAsia="仿宋" w:cs="仿宋"/>
                <w:b/>
                <w:bCs/>
                <w:spacing w:val="-1"/>
                <w:sz w:val="20"/>
                <w:szCs w:val="20"/>
              </w:rPr>
              <w:t>单位</w:t>
            </w:r>
          </w:p>
        </w:tc>
        <w:tc>
          <w:tcPr>
            <w:tcW w:w="660" w:type="dxa"/>
            <w:vAlign w:val="top"/>
          </w:tcPr>
          <w:p w14:paraId="5D8CED56">
            <w:pPr>
              <w:spacing w:before="110" w:line="232" w:lineRule="auto"/>
              <w:ind w:left="117"/>
              <w:rPr>
                <w:rFonts w:ascii="仿宋" w:hAnsi="仿宋" w:eastAsia="仿宋" w:cs="仿宋"/>
                <w:sz w:val="20"/>
                <w:szCs w:val="20"/>
              </w:rPr>
            </w:pPr>
            <w:r>
              <w:rPr>
                <w:rFonts w:ascii="仿宋" w:hAnsi="仿宋" w:eastAsia="仿宋" w:cs="仿宋"/>
                <w:b/>
                <w:bCs/>
                <w:spacing w:val="1"/>
                <w:sz w:val="20"/>
                <w:szCs w:val="20"/>
              </w:rPr>
              <w:t>数量</w:t>
            </w:r>
          </w:p>
        </w:tc>
        <w:tc>
          <w:tcPr>
            <w:tcW w:w="830" w:type="dxa"/>
            <w:vAlign w:val="top"/>
          </w:tcPr>
          <w:p w14:paraId="541F41A0">
            <w:pPr>
              <w:spacing w:before="111" w:line="229" w:lineRule="auto"/>
              <w:ind w:left="122"/>
              <w:rPr>
                <w:rFonts w:ascii="仿宋" w:hAnsi="仿宋" w:eastAsia="仿宋" w:cs="仿宋"/>
                <w:sz w:val="20"/>
                <w:szCs w:val="20"/>
              </w:rPr>
            </w:pPr>
            <w:r>
              <w:rPr>
                <w:rFonts w:ascii="仿宋" w:hAnsi="仿宋" w:eastAsia="仿宋" w:cs="仿宋"/>
                <w:b/>
                <w:bCs/>
                <w:spacing w:val="-1"/>
                <w:sz w:val="20"/>
                <w:szCs w:val="20"/>
              </w:rPr>
              <w:t>单价</w:t>
            </w:r>
          </w:p>
        </w:tc>
        <w:tc>
          <w:tcPr>
            <w:tcW w:w="923" w:type="dxa"/>
            <w:vAlign w:val="top"/>
          </w:tcPr>
          <w:p w14:paraId="3CF79633">
            <w:pPr>
              <w:spacing w:before="111" w:line="231" w:lineRule="auto"/>
              <w:ind w:left="130"/>
              <w:rPr>
                <w:rFonts w:ascii="仿宋" w:hAnsi="仿宋" w:eastAsia="仿宋" w:cs="仿宋"/>
                <w:sz w:val="20"/>
                <w:szCs w:val="20"/>
              </w:rPr>
            </w:pPr>
            <w:r>
              <w:rPr>
                <w:rFonts w:ascii="仿宋" w:hAnsi="仿宋" w:eastAsia="仿宋" w:cs="仿宋"/>
                <w:b/>
                <w:bCs/>
                <w:spacing w:val="-4"/>
                <w:sz w:val="20"/>
                <w:szCs w:val="20"/>
              </w:rPr>
              <w:t>总价</w:t>
            </w:r>
          </w:p>
        </w:tc>
        <w:tc>
          <w:tcPr>
            <w:tcW w:w="2213" w:type="dxa"/>
            <w:vAlign w:val="top"/>
          </w:tcPr>
          <w:p w14:paraId="37280CC3">
            <w:pPr>
              <w:spacing w:before="111" w:line="233" w:lineRule="auto"/>
              <w:ind w:left="124"/>
              <w:rPr>
                <w:rFonts w:ascii="仿宋" w:hAnsi="仿宋" w:eastAsia="仿宋" w:cs="仿宋"/>
                <w:sz w:val="20"/>
                <w:szCs w:val="20"/>
              </w:rPr>
            </w:pPr>
            <w:r>
              <w:rPr>
                <w:rFonts w:ascii="仿宋" w:hAnsi="仿宋" w:eastAsia="仿宋" w:cs="仿宋"/>
                <w:b/>
                <w:bCs/>
                <w:sz w:val="20"/>
                <w:szCs w:val="20"/>
              </w:rPr>
              <w:t>备注</w:t>
            </w:r>
          </w:p>
        </w:tc>
      </w:tr>
      <w:tr w14:paraId="151D3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65" w:type="dxa"/>
            <w:vAlign w:val="top"/>
          </w:tcPr>
          <w:p w14:paraId="4A512301">
            <w:pPr>
              <w:pStyle w:val="6"/>
            </w:pPr>
          </w:p>
        </w:tc>
        <w:tc>
          <w:tcPr>
            <w:tcW w:w="3022" w:type="dxa"/>
            <w:vAlign w:val="top"/>
          </w:tcPr>
          <w:p w14:paraId="652C6CCE">
            <w:pPr>
              <w:pStyle w:val="6"/>
            </w:pPr>
          </w:p>
        </w:tc>
        <w:tc>
          <w:tcPr>
            <w:tcW w:w="708" w:type="dxa"/>
            <w:vAlign w:val="top"/>
          </w:tcPr>
          <w:p w14:paraId="1724956B">
            <w:pPr>
              <w:pStyle w:val="6"/>
            </w:pPr>
          </w:p>
        </w:tc>
        <w:tc>
          <w:tcPr>
            <w:tcW w:w="660" w:type="dxa"/>
            <w:vAlign w:val="top"/>
          </w:tcPr>
          <w:p w14:paraId="21070406">
            <w:pPr>
              <w:pStyle w:val="6"/>
            </w:pPr>
          </w:p>
        </w:tc>
        <w:tc>
          <w:tcPr>
            <w:tcW w:w="830" w:type="dxa"/>
            <w:vAlign w:val="top"/>
          </w:tcPr>
          <w:p w14:paraId="01EBE74E">
            <w:pPr>
              <w:pStyle w:val="6"/>
            </w:pPr>
          </w:p>
        </w:tc>
        <w:tc>
          <w:tcPr>
            <w:tcW w:w="923" w:type="dxa"/>
            <w:vAlign w:val="top"/>
          </w:tcPr>
          <w:p w14:paraId="69BE4AB8">
            <w:pPr>
              <w:pStyle w:val="6"/>
            </w:pPr>
          </w:p>
        </w:tc>
        <w:tc>
          <w:tcPr>
            <w:tcW w:w="2213" w:type="dxa"/>
            <w:vAlign w:val="top"/>
          </w:tcPr>
          <w:p w14:paraId="11A6670D">
            <w:pPr>
              <w:pStyle w:val="6"/>
            </w:pPr>
          </w:p>
        </w:tc>
      </w:tr>
      <w:tr w14:paraId="7B161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65" w:type="dxa"/>
            <w:vAlign w:val="top"/>
          </w:tcPr>
          <w:p w14:paraId="430CE4B5">
            <w:pPr>
              <w:pStyle w:val="6"/>
            </w:pPr>
          </w:p>
        </w:tc>
        <w:tc>
          <w:tcPr>
            <w:tcW w:w="3022" w:type="dxa"/>
            <w:vAlign w:val="top"/>
          </w:tcPr>
          <w:p w14:paraId="5C8F0FEB">
            <w:pPr>
              <w:pStyle w:val="6"/>
            </w:pPr>
          </w:p>
        </w:tc>
        <w:tc>
          <w:tcPr>
            <w:tcW w:w="708" w:type="dxa"/>
            <w:vAlign w:val="top"/>
          </w:tcPr>
          <w:p w14:paraId="7A272D90">
            <w:pPr>
              <w:pStyle w:val="6"/>
            </w:pPr>
          </w:p>
        </w:tc>
        <w:tc>
          <w:tcPr>
            <w:tcW w:w="660" w:type="dxa"/>
            <w:vAlign w:val="top"/>
          </w:tcPr>
          <w:p w14:paraId="7FA8B054">
            <w:pPr>
              <w:pStyle w:val="6"/>
            </w:pPr>
          </w:p>
        </w:tc>
        <w:tc>
          <w:tcPr>
            <w:tcW w:w="830" w:type="dxa"/>
            <w:vAlign w:val="top"/>
          </w:tcPr>
          <w:p w14:paraId="187EEFFA">
            <w:pPr>
              <w:pStyle w:val="6"/>
            </w:pPr>
          </w:p>
        </w:tc>
        <w:tc>
          <w:tcPr>
            <w:tcW w:w="923" w:type="dxa"/>
            <w:vAlign w:val="top"/>
          </w:tcPr>
          <w:p w14:paraId="2DF83B86">
            <w:pPr>
              <w:pStyle w:val="6"/>
            </w:pPr>
          </w:p>
        </w:tc>
        <w:tc>
          <w:tcPr>
            <w:tcW w:w="2213" w:type="dxa"/>
            <w:vAlign w:val="top"/>
          </w:tcPr>
          <w:p w14:paraId="28B942FA">
            <w:pPr>
              <w:pStyle w:val="6"/>
            </w:pPr>
          </w:p>
        </w:tc>
      </w:tr>
      <w:tr w14:paraId="103C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65" w:type="dxa"/>
            <w:vAlign w:val="top"/>
          </w:tcPr>
          <w:p w14:paraId="1DCE9A97">
            <w:pPr>
              <w:pStyle w:val="6"/>
            </w:pPr>
          </w:p>
        </w:tc>
        <w:tc>
          <w:tcPr>
            <w:tcW w:w="3022" w:type="dxa"/>
            <w:vAlign w:val="top"/>
          </w:tcPr>
          <w:p w14:paraId="0B91D242">
            <w:pPr>
              <w:pStyle w:val="6"/>
            </w:pPr>
          </w:p>
        </w:tc>
        <w:tc>
          <w:tcPr>
            <w:tcW w:w="708" w:type="dxa"/>
            <w:vAlign w:val="top"/>
          </w:tcPr>
          <w:p w14:paraId="024DD09E">
            <w:pPr>
              <w:pStyle w:val="6"/>
            </w:pPr>
          </w:p>
        </w:tc>
        <w:tc>
          <w:tcPr>
            <w:tcW w:w="660" w:type="dxa"/>
            <w:vAlign w:val="top"/>
          </w:tcPr>
          <w:p w14:paraId="13CD8B8B">
            <w:pPr>
              <w:pStyle w:val="6"/>
            </w:pPr>
          </w:p>
        </w:tc>
        <w:tc>
          <w:tcPr>
            <w:tcW w:w="830" w:type="dxa"/>
            <w:vAlign w:val="top"/>
          </w:tcPr>
          <w:p w14:paraId="3BC21C1D">
            <w:pPr>
              <w:pStyle w:val="6"/>
            </w:pPr>
          </w:p>
        </w:tc>
        <w:tc>
          <w:tcPr>
            <w:tcW w:w="923" w:type="dxa"/>
            <w:vAlign w:val="top"/>
          </w:tcPr>
          <w:p w14:paraId="7C402D33">
            <w:pPr>
              <w:pStyle w:val="6"/>
            </w:pPr>
          </w:p>
        </w:tc>
        <w:tc>
          <w:tcPr>
            <w:tcW w:w="2213" w:type="dxa"/>
            <w:vAlign w:val="top"/>
          </w:tcPr>
          <w:p w14:paraId="67EA9B89">
            <w:pPr>
              <w:pStyle w:val="6"/>
            </w:pPr>
          </w:p>
        </w:tc>
      </w:tr>
      <w:tr w14:paraId="48D3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665" w:type="dxa"/>
            <w:vAlign w:val="top"/>
          </w:tcPr>
          <w:p w14:paraId="58B00B05">
            <w:pPr>
              <w:pStyle w:val="6"/>
            </w:pPr>
          </w:p>
        </w:tc>
        <w:tc>
          <w:tcPr>
            <w:tcW w:w="3022" w:type="dxa"/>
            <w:vAlign w:val="top"/>
          </w:tcPr>
          <w:p w14:paraId="23721FA7">
            <w:pPr>
              <w:pStyle w:val="6"/>
            </w:pPr>
          </w:p>
        </w:tc>
        <w:tc>
          <w:tcPr>
            <w:tcW w:w="708" w:type="dxa"/>
            <w:vAlign w:val="top"/>
          </w:tcPr>
          <w:p w14:paraId="20E5F4CC">
            <w:pPr>
              <w:pStyle w:val="6"/>
            </w:pPr>
          </w:p>
        </w:tc>
        <w:tc>
          <w:tcPr>
            <w:tcW w:w="660" w:type="dxa"/>
            <w:vAlign w:val="top"/>
          </w:tcPr>
          <w:p w14:paraId="21F00798">
            <w:pPr>
              <w:pStyle w:val="6"/>
            </w:pPr>
          </w:p>
        </w:tc>
        <w:tc>
          <w:tcPr>
            <w:tcW w:w="830" w:type="dxa"/>
            <w:vAlign w:val="top"/>
          </w:tcPr>
          <w:p w14:paraId="372B0C78">
            <w:pPr>
              <w:pStyle w:val="6"/>
            </w:pPr>
          </w:p>
        </w:tc>
        <w:tc>
          <w:tcPr>
            <w:tcW w:w="923" w:type="dxa"/>
            <w:vAlign w:val="top"/>
          </w:tcPr>
          <w:p w14:paraId="59A2FCE2">
            <w:pPr>
              <w:pStyle w:val="6"/>
            </w:pPr>
          </w:p>
        </w:tc>
        <w:tc>
          <w:tcPr>
            <w:tcW w:w="2213" w:type="dxa"/>
            <w:vAlign w:val="top"/>
          </w:tcPr>
          <w:p w14:paraId="1E15FF35">
            <w:pPr>
              <w:pStyle w:val="6"/>
            </w:pPr>
          </w:p>
        </w:tc>
      </w:tr>
      <w:tr w14:paraId="54ED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65" w:type="dxa"/>
            <w:vAlign w:val="top"/>
          </w:tcPr>
          <w:p w14:paraId="0AB6ED81">
            <w:pPr>
              <w:spacing w:before="123" w:line="231" w:lineRule="auto"/>
              <w:ind w:left="130"/>
              <w:rPr>
                <w:rFonts w:ascii="仿宋" w:hAnsi="仿宋" w:eastAsia="仿宋" w:cs="仿宋"/>
                <w:sz w:val="20"/>
                <w:szCs w:val="20"/>
              </w:rPr>
            </w:pPr>
            <w:r>
              <w:rPr>
                <w:rFonts w:ascii="仿宋" w:hAnsi="仿宋" w:eastAsia="仿宋" w:cs="仿宋"/>
                <w:spacing w:val="-3"/>
                <w:sz w:val="20"/>
                <w:szCs w:val="20"/>
              </w:rPr>
              <w:t>总价</w:t>
            </w:r>
          </w:p>
        </w:tc>
        <w:tc>
          <w:tcPr>
            <w:tcW w:w="3022" w:type="dxa"/>
            <w:vAlign w:val="top"/>
          </w:tcPr>
          <w:p w14:paraId="413F60A9">
            <w:pPr>
              <w:pStyle w:val="6"/>
            </w:pPr>
          </w:p>
        </w:tc>
        <w:tc>
          <w:tcPr>
            <w:tcW w:w="5334" w:type="dxa"/>
            <w:gridSpan w:val="5"/>
            <w:vAlign w:val="top"/>
          </w:tcPr>
          <w:p w14:paraId="025D7421">
            <w:pPr>
              <w:pStyle w:val="6"/>
            </w:pPr>
          </w:p>
        </w:tc>
      </w:tr>
    </w:tbl>
    <w:p w14:paraId="20BF6FED">
      <w:pPr>
        <w:spacing w:line="371" w:lineRule="auto"/>
        <w:rPr>
          <w:rFonts w:ascii="Arial"/>
          <w:sz w:val="21"/>
        </w:rPr>
      </w:pPr>
    </w:p>
    <w:p w14:paraId="2D0A097D">
      <w:pPr>
        <w:pStyle w:val="2"/>
        <w:spacing w:before="79" w:line="239" w:lineRule="auto"/>
        <w:ind w:left="122" w:right="607" w:firstLine="480"/>
        <w:jc w:val="both"/>
      </w:pPr>
      <w:r>
        <w:t>价格构成、报价要求：所有报价均用人民币表示,所报价格是交付地的验收</w:t>
      </w:r>
      <w:r>
        <w:rPr>
          <w:spacing w:val="12"/>
        </w:rPr>
        <w:t xml:space="preserve"> </w:t>
      </w:r>
      <w:r>
        <w:rPr>
          <w:spacing w:val="-3"/>
        </w:rPr>
        <w:t>价格，其总价即为履行合同的固定价格，包括原有旧设备拆除、辅材、运输、安</w:t>
      </w:r>
      <w:r>
        <w:rPr>
          <w:spacing w:val="1"/>
        </w:rPr>
        <w:t xml:space="preserve"> </w:t>
      </w:r>
      <w:r>
        <w:rPr>
          <w:spacing w:val="-1"/>
        </w:rPr>
        <w:t>装、调试、检验、培训、税金和保险等一切费用。</w:t>
      </w:r>
    </w:p>
    <w:p w14:paraId="0B858347">
      <w:pPr>
        <w:pStyle w:val="2"/>
        <w:spacing w:before="1" w:line="217" w:lineRule="auto"/>
        <w:ind w:left="603"/>
      </w:pPr>
      <w:r>
        <w:rPr>
          <w:spacing w:val="-1"/>
        </w:rPr>
        <w:t>此表可以根据需要自行增减行数，且</w:t>
      </w:r>
      <w:r>
        <w:rPr>
          <w:b/>
          <w:bCs/>
          <w:spacing w:val="-1"/>
        </w:rPr>
        <w:t>该表报价非本次磋</w:t>
      </w:r>
      <w:r>
        <w:rPr>
          <w:b/>
          <w:bCs/>
          <w:spacing w:val="-2"/>
        </w:rPr>
        <w:t>商中的最后报价。</w:t>
      </w:r>
    </w:p>
    <w:p w14:paraId="64EA21FA">
      <w:pPr>
        <w:spacing w:line="285" w:lineRule="auto"/>
        <w:rPr>
          <w:rFonts w:ascii="Arial"/>
          <w:sz w:val="21"/>
        </w:rPr>
      </w:pPr>
    </w:p>
    <w:p w14:paraId="58F2F0F6">
      <w:pPr>
        <w:spacing w:line="285" w:lineRule="auto"/>
        <w:rPr>
          <w:rFonts w:ascii="Arial"/>
          <w:sz w:val="21"/>
        </w:rPr>
      </w:pPr>
    </w:p>
    <w:p w14:paraId="15DA9233">
      <w:pPr>
        <w:pStyle w:val="2"/>
        <w:spacing w:before="79" w:line="219" w:lineRule="auto"/>
        <w:ind w:left="3482"/>
      </w:pPr>
      <w:r>
        <w:rPr>
          <w:spacing w:val="-1"/>
        </w:rPr>
        <w:t>供应商名称：XXX（盖单位公章）</w:t>
      </w:r>
    </w:p>
    <w:p w14:paraId="5D64AB99">
      <w:pPr>
        <w:pStyle w:val="2"/>
        <w:spacing w:before="25" w:line="219" w:lineRule="auto"/>
        <w:ind w:left="3483"/>
      </w:pPr>
      <w:r>
        <w:rPr>
          <w:spacing w:val="-1"/>
        </w:rPr>
        <w:t>法定代表人或授权代表（签字或盖章</w:t>
      </w:r>
      <w:r>
        <w:rPr>
          <w:spacing w:val="-57"/>
        </w:rPr>
        <w:t>）：</w:t>
      </w:r>
      <w:r>
        <w:rPr>
          <w:spacing w:val="-1"/>
        </w:rPr>
        <w:t>XXX</w:t>
      </w:r>
    </w:p>
    <w:p w14:paraId="119AF9F6">
      <w:pPr>
        <w:pStyle w:val="2"/>
        <w:spacing w:before="28" w:line="219" w:lineRule="auto"/>
        <w:ind w:left="3523"/>
      </w:pPr>
      <w:r>
        <w:rPr>
          <w:spacing w:val="-7"/>
        </w:rPr>
        <w:t>日</w:t>
      </w:r>
      <w:r>
        <w:rPr>
          <w:spacing w:val="2"/>
        </w:rPr>
        <w:t xml:space="preserve">      </w:t>
      </w:r>
      <w:r>
        <w:rPr>
          <w:spacing w:val="-7"/>
        </w:rPr>
        <w:t>期：XXX</w:t>
      </w:r>
      <w:r>
        <w:rPr>
          <w:spacing w:val="-50"/>
        </w:rPr>
        <w:t xml:space="preserve"> </w:t>
      </w:r>
      <w:r>
        <w:rPr>
          <w:spacing w:val="-7"/>
        </w:rPr>
        <w:t>年</w:t>
      </w:r>
      <w:r>
        <w:rPr>
          <w:spacing w:val="-53"/>
        </w:rPr>
        <w:t xml:space="preserve"> </w:t>
      </w:r>
      <w:r>
        <w:rPr>
          <w:spacing w:val="-7"/>
        </w:rPr>
        <w:t>XXX</w:t>
      </w:r>
      <w:r>
        <w:rPr>
          <w:spacing w:val="-45"/>
        </w:rPr>
        <w:t xml:space="preserve"> </w:t>
      </w:r>
      <w:r>
        <w:rPr>
          <w:spacing w:val="-7"/>
        </w:rPr>
        <w:t>月</w:t>
      </w:r>
      <w:r>
        <w:rPr>
          <w:spacing w:val="-53"/>
        </w:rPr>
        <w:t xml:space="preserve"> </w:t>
      </w:r>
      <w:r>
        <w:rPr>
          <w:spacing w:val="-7"/>
        </w:rPr>
        <w:t>XXX 日</w:t>
      </w:r>
    </w:p>
    <w:p w14:paraId="0CEBCEE5">
      <w:pPr>
        <w:spacing w:line="258" w:lineRule="auto"/>
        <w:rPr>
          <w:rFonts w:ascii="Arial"/>
          <w:sz w:val="21"/>
        </w:rPr>
      </w:pPr>
    </w:p>
    <w:p w14:paraId="5D59C24B">
      <w:pPr>
        <w:spacing w:line="259" w:lineRule="auto"/>
        <w:rPr>
          <w:rFonts w:ascii="Arial"/>
          <w:sz w:val="21"/>
        </w:rPr>
      </w:pPr>
    </w:p>
    <w:p w14:paraId="5F1E63C2">
      <w:pPr>
        <w:spacing w:line="259" w:lineRule="auto"/>
        <w:rPr>
          <w:rFonts w:ascii="Arial"/>
          <w:sz w:val="21"/>
        </w:rPr>
      </w:pPr>
    </w:p>
    <w:p w14:paraId="795E5CDE">
      <w:pPr>
        <w:spacing w:line="259" w:lineRule="auto"/>
        <w:rPr>
          <w:rFonts w:ascii="Arial"/>
          <w:sz w:val="21"/>
        </w:rPr>
      </w:pPr>
    </w:p>
    <w:p w14:paraId="55BFC480">
      <w:pPr>
        <w:spacing w:line="259" w:lineRule="auto"/>
        <w:rPr>
          <w:rFonts w:ascii="Arial"/>
          <w:sz w:val="21"/>
        </w:rPr>
      </w:pPr>
    </w:p>
    <w:p w14:paraId="2A1964D0">
      <w:pPr>
        <w:pStyle w:val="2"/>
        <w:spacing w:before="79" w:line="219" w:lineRule="auto"/>
        <w:ind w:left="7109"/>
      </w:pPr>
      <w:r>
        <w:rPr>
          <w:rFonts w:hint="eastAsia"/>
          <w:spacing w:val="-9"/>
          <w:lang w:val="en-US" w:eastAsia="zh-CN"/>
        </w:rPr>
        <w:t>2025</w:t>
      </w:r>
      <w:r>
        <w:rPr>
          <w:spacing w:val="-9"/>
        </w:rPr>
        <w:t>年</w:t>
      </w:r>
      <w:r>
        <w:rPr>
          <w:spacing w:val="5"/>
        </w:rPr>
        <w:t xml:space="preserve"> </w:t>
      </w:r>
      <w:r>
        <w:rPr>
          <w:rFonts w:hint="eastAsia"/>
          <w:spacing w:val="5"/>
          <w:lang w:val="en-US" w:eastAsia="zh-CN"/>
        </w:rPr>
        <w:t>9</w:t>
      </w:r>
      <w:r>
        <w:rPr>
          <w:spacing w:val="5"/>
        </w:rPr>
        <w:t xml:space="preserve"> </w:t>
      </w:r>
      <w:r>
        <w:rPr>
          <w:spacing w:val="-9"/>
        </w:rPr>
        <w:t>月</w:t>
      </w:r>
      <w:r>
        <w:rPr>
          <w:rFonts w:hint="eastAsia"/>
          <w:spacing w:val="25"/>
          <w:lang w:val="en-US" w:eastAsia="zh-CN"/>
        </w:rPr>
        <w:t>24</w:t>
      </w:r>
      <w:bookmarkStart w:id="1" w:name="_GoBack"/>
      <w:bookmarkEnd w:id="1"/>
      <w:r>
        <w:rPr>
          <w:spacing w:val="-9"/>
        </w:rPr>
        <w:t>日</w:t>
      </w:r>
    </w:p>
    <w:sectPr>
      <w:pgSz w:w="11906" w:h="16839"/>
      <w:pgMar w:top="1426" w:right="1192" w:bottom="0" w:left="16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56E4E"/>
    <w:rsid w:val="6FCE61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2207</Words>
  <Characters>2262</Characters>
  <TotalTime>13</TotalTime>
  <ScaleCrop>false</ScaleCrop>
  <LinksUpToDate>false</LinksUpToDate>
  <CharactersWithSpaces>2331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2022-11-11T09:36:00Z</dcterms:created>
  <dc:creator>通达袁</dc:creator>
  <cp:lastModifiedBy>李淑娟</cp:lastModifiedBy>
  <dcterms:modified xsi:type="dcterms:W3CDTF">2025-09-24T03:57:30Z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2025-09-20T18:56:22Z</vt:filetime>
  </property>
  <property fmtid="{D5CDD505-2E9C-101B-9397-08002B2CF9AE}" pid="4" name="KSOTemplateDocerSaveRecord">
    <vt:lpwstr>eyJoZGlkIjoiNDBjMmVkOWI3ZmY3OTE3MjZmNDg5MTkwZTZmZGNlYzQiLCJ1c2VySWQiOiIxNTM2MTQxMzI2In0=</vt:lpwstr>
  </property>
  <property fmtid="{D5CDD505-2E9C-101B-9397-08002B2CF9AE}" pid="5" name="KSOProductBuildVer">
    <vt:lpwstr>2052-12.1.0.22529</vt:lpwstr>
  </property>
  <property fmtid="{D5CDD505-2E9C-101B-9397-08002B2CF9AE}" pid="6" name="ICV">
    <vt:lpwstr>10962D9E458A42D09DD4335ED235784B_13</vt:lpwstr>
  </property>
</Properties>
</file>